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77</w:t>
      </w:r>
    </w:p>
    <w:p>
      <w:r>
        <w:t>Bundesgericht (BGE), 2017-09-27, DE</w:t>
      </w:r>
    </w:p>
    <w:p>
      <w:r>
        <w:rPr>
          <w:b/>
        </w:rPr>
        <w:t xml:space="preserve">Quelle: </w:t>
      </w:r>
      <w:r>
        <w:t>https://mcp.opencaselaw.ch/entscheid/bge_144 II 77</w:t>
      </w:r>
    </w:p>
    <w:p>
      <w:r>
        <w:t>FR: ATF 144 II 77</w:t>
      </w:r>
    </w:p>
    <w:p>
      <w:r>
        <w:t>IT: DTF 144 II 77</w:t>
      </w:r>
    </w:p>
    <w:p>
      <w:pPr>
        <w:pStyle w:val="Heading2"/>
      </w:pPr>
      <w:r>
        <w:t>Regeste</w:t>
      </w:r>
    </w:p>
    <w:p>
      <w:r>
        <w:t>Regeste Art. 13 Abs. 2 BV; Art. 7 Abs. 1 und Art. 9 BGÖ; Art. 19 Abs. 1 bis DSG; Gesuch um Einsicht in die in der Neuen Ereignisdatenbank (NEDB) enthaltenen Einträge über Gefährdungen und Störungen der 26 wichtigsten Schweizer Transportunternehmen. Damit ein Geheimhaltungstatbestand nach Art. 7 Abs. 1 BGÖ greift, muss die bei einer Zugangsgewährung drohende Verletzung öffentlicher oder privater Interessen ernsthaft sein und mit einer gewissen Wahrscheinlichkeit eintreten; eine eigentliche Interessenabwägung ist dabei nicht vorzunehmen. Enthält ein amtliches Dokument indes Personendaten, die sich nicht anonymisieren lassen, ist gemäss Art. 19 Abs. 1 bis DSG (bzw. Art. 7 Abs. 2 BGÖ) eine umfassende Güterabwägung vorzunehmen (E. 3). Dabei können dem Transparenzinteresse neben privaten Interessen am Schutz der Privatsphäre bzw. der informationellen Selbstbestimmung auch gewichtige öffentliche Anliegen gegenübergestellt werden, die der Zugangsgewährung zuwiderlaufen und nicht von einer Ausnahmebestimmung im Sinne von Art. 7 f. BGÖ erfasst werden (E. 5.7). Frage offengelassen, ob sich öffentliche Unternehmungen im Bereich der Wahrnehmung konzessionierter öffentlicher Aufgaben auf das Recht auf informationelle Selbstbestimmung berufen können (E. 5).</w:t>
      </w:r>
    </w:p>
    <w:p>
      <w:pPr>
        <w:pStyle w:val="Heading2"/>
      </w:pPr>
      <w:r>
        <w:t>Erwägungen</w:t>
      </w:r>
    </w:p>
    <w:p>
      <w:r>
        <w:rPr>
          <w:b/>
        </w:rPr>
        <w:t>E. 3</w:t>
      </w:r>
    </w:p>
    <w:p>
      <w:r>
        <w:t>Der Beschwerdeführer macht mehrere im BGÖ verankerte Ausnahmegründe zum Transparenzgebot geltend. Dabei beruft er sich vorab auf einen in Art. 7 Abs. 1 BGÖ normierten Geheimhaltungstatbestand, nach dem der Zugang zu amtlichen Dokumenten eingeschränkt, aufgeschoben oder verweigert werden kann. Dafür muss nach der Rechtsprechung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 BGE 142 II 324 E. 3.4 S. 335, BGE 142 II 340 E. 2.2 S. 344 f.).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(vgl. URS STEIMEN, in: Basler Kommentar, Datenschutzgesetz, Öffentlichkeitsgesetz, 3. Aufl. 2014, N. 3 zu Art. 7 BGÖ ; BERTIL COTTIER, in: Öffentlichkeitsgesetz, 2008, N. 5 zu Art. 7 BGÖ ; ALEXANDRE FLÜCKIGER, Le projet de loi fédérale sur la transparence: transparence de l'administration ou des citoyens?, in: L'administration transparente, Tanquerel/Bellanger [Hrsg.], 2002, S. 146). Bezieht sich ein Zugangsgesuch jedoch auf ein amtliches Dokument, das Personendaten enthält, die sich nicht anonymisieren lassen, ist eine umfassende Güterabwägung vorzunehmen zwischen dem öffentlichen Interesse an der Offenlegung der nachgesuchten Informationen und diesem entgegenstehenden BGE 144 II 77 S. 81 Interessen, insbesondere dasjenige am Schutz der Privatsphäre bzw. der Daten derjenigen Personen, deren Angaben im Dokument enthalten sind und zugänglich gemacht werden sollen ( Art. 9 Abs. 2 BGÖ i.V.m. Art. 19 Abs. 1 bis des Bundesgesetzes vom 19. Juni 1992 über den Datenschutz [DSG; SR 235.1] bzw. Art. 7 Abs. 2 BGÖ ; vgl. BGE BGE 142 II 340 E. 4.2 f. S. 346 f.; Urteil 1C_74/2015 vom 2. Dezember 2015 E. 4.1 f.).</w:t>
      </w:r>
    </w:p>
    <w:p>
      <w:r>
        <w:rPr>
          <w:b/>
        </w:rPr>
        <w:t>E. 4.1</w:t>
      </w:r>
    </w:p>
    <w:p>
      <w:r>
        <w:t>Der Beschwerdeführer beruft sich zunächst auf die Ausnahmebestimmung von Art. 7 Abs. 1 lit. b BGÖ . Danach wird der Zugang zu amtlichen Dokumenten eingeschränkt, aufgeschoben oder verweigert, wenn durch seine Gewährung die zielkonforme Durchführung konkreter behördlicher Massnahmen beeinträchtigt würde. Seiner Ansicht nach hat das Bundesverwaltungsgericht diese Vorschrift rechtsfehlerhaft ausgelegt. Blieben nämlich Meldungen der Transportunternehmen über Störungen oder Gefährdungen aufgrund deren Bekanntgabe an die Öffentlichkeit aus, würde das Treffen von konkreten behördlichen Massnahmen nicht nur beeinträchtigt, sondern sogar verunmöglicht.</w:t>
      </w:r>
    </w:p>
    <w:p>
      <w:r>
        <w:rPr>
          <w:b/>
        </w:rPr>
        <w:t>E. 4.2</w:t>
      </w:r>
    </w:p>
    <w:p>
      <w:r>
        <w:t>Das Bundesverwaltungsgericht erwog dazu im Wesentlichen, Art. 7 Abs. 1 lit. b BGÖ sei auf einzelne, konkrete behördliche Massnahmen zugeschnitten; die Aufgabenerfüllung und Aufsichtstätigkeit des BAV insgesamt falle nicht unter diese Bestimmung. Zu verlangen sei, dass durch die Zugangsgewährung die Durchführung von einzelnen, klar definierten behördlichen Massnahmen beeinträchtigt zu werden drohe. Eine solche Massnahme werde vom BAV nicht genannt und sei auch nicht ersichtlich. Eine bloss theoretisch denkbare Massnahme, die auf eine Gefährdungs- oder Störungsmeldung hin anzuordnen wäre, jedoch nicht ergriffen werden könnte, falls das auslösende Ereignis wegen seiner möglichen Veröffentlichung nicht gemeldet würde, sei zu abstrakt und könne nicht genügen (vgl. E. 6.1 des angefochtenen Entscheids).</w:t>
      </w:r>
    </w:p>
    <w:p>
      <w:r>
        <w:rPr>
          <w:b/>
        </w:rPr>
        <w:t>E. 4.3</w:t>
      </w:r>
    </w:p>
    <w:p>
      <w:r>
        <w:t>Diesen Erwägungen ist im Grundsatz zuzustimmen. Gemäss der Botschaft zum BGÖ stellt der Ausnahmegrund von Art. 7 Abs. 1 lit. b BGÖ sicher, dass Informationen geheim gehalten werden können, die der Vorbereitung konkreter behördlicher Massnahmen dienen (z.B. Aufsichtsmassnahmen oder Inspektionen); er kann dann angerufen werden, wenn durch die Zugänglichmachung bestimmter Informationen über die Vorbereitung einer Massnahme deren Ziel mit hoher Wahrscheinlichkeit nicht mehr - bzw. nicht BGE 144 II 77 S. 82 vollumfänglich - erreicht würde (Botschaft vom 12. Februar 2003 zum Bundesgesetz über die Öffentlichkeit der Verwaltung [BGÖ], BBl 2003 1963, 2009 Ziff. 2.2.2.1.2). In Anlehnung an die allgemeinen Grundsätze für Ausnahmen vom Transparenzgebot (vgl. E. 3 hiervor) ist dabei ergänzend festzuhalten, dass die aufgrund der Zugangsgewährung drohende Verletzung der mit der behördlichen Massnahme verfolgten Ziele von einem gewissen Gewicht sein muss. Vorliegend ist nicht ersichtlich, inwiefern die Offenlegung der in der NEDB erfassten Gefährdungen und Störungen die vom BAV angestrebte konstruktive Fehlerkultur beeinträchtigen oder den Erfolg einer aufsichtsrechtlichen Massnahme, mit der die Sicherheit im öffentlichen Verkehr sichergestellt werden soll, ernsthaft gefährden könnte. Der Erfolg bliebe vor allem insoweit nicht aus, als die Bekanntgabe bereits gemeldeter Zwischenfälle in Frage steht: Diesfalls ist es dem BAV als Aufsichtsbehörde (vgl. Art. 10 Abs. 2 des Eisenbahngesetzes vom 20. Dezember 1957 [EBG; SR 742.101] bzw. Art. 52 des Bundesgesetzes vom 20. März 2009 über die Personenbeförderung [PBG; SR 745.1] ) unbenommen, mit geeigneten Massnahmen darauf zu reagieren. Aber auch das vom Beschwerdeführer geltend gemachte Sicherheitsrisiko, das bei einer Zugangsgewährung durch das Unterbleiben von künftigen Meldungen entstehen könnte, liegt nicht auf der Hand, insbesondere wenn man bedenkt, dass hinsichtlich wesentlicher, und somit sicherheitsrelevanter Vorfälle eine gesetzliche Meldepflicht besteht (vgl. insb. Art. 14a Abs. 1 EBG , Art. 16 i.V.m. Art. 4 der Verordnung vom 17. Dezember 2014 über die Sicherheitsuntersuchung von Zwischenfällen im Verkehrswesen [VSZV; SR 742.161] ; im Allgemeinen: Bundesamt für Justiz, Schnellübersicht über die dem BAV zu meldenden Ereignisse vom 1. Februar 2015). Dabei kann davon ausgegangen werden, dass die beaufsichtigten Transportunternehmen ihren gesetzlichen Verpflichtungen nachkommen. Sollten sie dennoch sicherheitsrelevante Zwischenfälle nicht melden, vereitelt bereits dieses rechtswidrige Verhalten die Möglichkeit, geeignete aufsichtsrechtliche Massnahmen zu treffen, und nicht erst - wie durch Art. 7 Abs. 1 lit. b BGÖ vorgesehen - die Bekanntgabe von bei der Aufsichtsbehörde vorhandenen Informationen. Mithin ist nicht zu beanstanden, wenn die Vorinstanz die Voraussetzungen von Art. 7 Abs. 1 lit. b BGÖ nicht als erfüllt erachtete. Anders verhielte es sich beispielsweise dann, wenn um Zugang zu Informationen ersucht würde, die in unmittelbarem Zusammenhang mit der Durchführung BGE 144 II 77 S. 83 von aufsichtsrechtlichen Kontrollen stünden. Diesfalls bestünde unter Umständen durchaus eine ernsthafte Gefahr, dass die Durchführung bzw. der Erfolg der behördlichen Massnahme durch entsprechende Vorkehrungen seitens der Beaufsichtigten vereitelt werden könnte.</w:t>
      </w:r>
    </w:p>
    <w:p>
      <w:r>
        <w:rPr>
          <w:b/>
        </w:rPr>
        <w:t>E. 5.1</w:t>
      </w:r>
    </w:p>
    <w:p>
      <w:r>
        <w:t>Sodann ist hier unstreitig, dass es sich bei den in der NEDB enthaltenen Meldungen über Zwischenfälle um Personendaten (bzw. "Daten" im Sinne des DSG) handelt, zumal sich diese Angaben auf bestimmte juristische Personen beziehen ( Art. 3 Abs. 1 lit. a DSG ; BGE 142 II 268 E. 6.1 S. 279 f.; Urteil 1C_74/2015 vom 2. Dezember 2015 E. 3.2). Entgegen der Auffassung des Beschwerdeführers kann durch deren anonymisierte Bekanntgabe dem Informationsbedürfnis des Beschwerdegegners nicht im gewünschten Umfang nachgekommen werden. Wie dieser in seiner Beschwerdeantwort zu Recht vorbringt, ist eine wirksame Kontrolle der staatlichen Behörde und deren (Aufsichts-)Tätigkeit, die das Öffentlichkeitsprinzip durch die Schaffung von Transparenz zu ermöglichen bezweckt (vgl. Art. 1 BGÖ ; BGE 142 II 313 E. 3.1 S. 315 f.; BGE 136 II 399 E. 2.1 S. 401; BGE 133 II 209 E. 2.3.1 S. 213), erst dann in geeigneter Weise möglich, wenn offengelegt wird, bei welchen der wichtigsten Transportunternehmen der Schweiz es zu wie vielen und zu welchen Zwischenfällen auf welchen Strecken gekommen ist. Eine Unkenntlichmachung der Namen der Transportunternehmen käme in materieller Hinsicht einer Verweigerung bzw. zumindest einer wesentlichen Einschränkung des Zugangsgesuchs gleich (vgl. BGE 142 II 340 E. 4.1 S. 346; Urteil 1C_74/2015 vom 2. Dezember 2015 E. 3).</w:t>
      </w:r>
    </w:p>
    <w:p>
      <w:r>
        <w:rPr>
          <w:b/>
        </w:rPr>
        <w:t>E. 5.2</w:t>
      </w:r>
    </w:p>
    <w:p>
      <w:r>
        <w:t>Ist eine Anonymisierung nicht möglich, muss das Zugangsgesuch nach Art. 19 DSG beurteilt werden ( Art. 9 Abs. 2 Satz 1 BGÖ ). Der Beschwerdeführer beruft sich dabei auf Art. 19 Abs. 1 bis DSG .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BGE 142 II 340 E. 4.2 S. 346). Bei den in der NEDB enthaltenen Gefährdungen und Störungen handelt es sich um Informationen, welche die Erfüllung einer öffentlichen Aufgabe betreffen, zumal sie als Grundlage für die BGE 144 II 77 S. 84 Anordnung von aufsichtsrechtlichen Massnahmen des BAV dienen können. Die zweite Voraussetzung verlangt nach einer Güterabwägung zwischen dem öffentlichen Interesse am Zugang zu den amtlichen Dokumenten und den - in erster Linie - privaten Interessen am Schutz der darin enthaltenen Personendaten (vgl. Botschaft zum BGÖ, BBl 2003 1963, 2033 Ziff. 2.5.2.1; JENNIFER EHRENSPERGER, in: Basler Kommentar, Datenschutzgesetz, Öffentlichkeitsgesetz, 3. Aufl. 2014, N. 44 zu Art. 19 DSG ; AMMANN/LANG, Öffentlichkeitsgesetz und Datenschutz, in: Datenschutzrecht, Passadelis/Rosenthal/Thür [Hrsg.], 2015, S. 924; MARKUS SCHEFER, Öffentlichkeit und Geheimhaltung in der Verwaltung, in: Die Revision des Datenschutzgesetzes, Epiney/Hobi [Hrsg.], 2009, S. 88). Dass das Recht auf informationelle Selbstbestimmung und der Schutz der Privatsphäre im Rahmen von Art. 19 Abs. 1 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 BGE 140 I 2 E. 9.1 S. 22 f., BGE 140 I 381 E. 4.1 S. 384; BGE 138 II 346 E. 8.2 S. 359 f.; BGE 129 I 232 E. 4.3.1 S. 245; je mit Hinweisen). Der Begriff des Bearbeitens umfasst aus datenschutzrechtlicher Sicht auch die Bekanntgabe, d.h. das Einsichtgewähren, Weitergeben oder Veröffentlichen von Personendaten ( Art. 3 lit. e und f DSG ; zum Ganzen: BGE 142 II 340 E. 4.2 S. 346 f.; Urteil 1C_74/2016 vom 2. Dezember 2015 E. 4.1).</w:t>
      </w:r>
    </w:p>
    <w:p>
      <w:r>
        <w:rPr>
          <w:b/>
        </w:rPr>
        <w:t>E. 5.3</w:t>
      </w:r>
    </w:p>
    <w:p>
      <w:r>
        <w:t>Die Vorschriften des DSG gelten somit für die Bearbeitung von persönlichen Daten, die den grundrechtlichen Anspruch auf Schutz der Privatsphäre und der informationellen Selbstbestimmung verletzen können (vgl. BGE 142 II 268 E. 6.1 S. 280; Urteil 1C_230/2011 vom 31. Mai 2012 E. 3.2; je mit Hinweisen). Unter den Schutzbereich dieses Gesetzes fallen sowohl natürliche als auch juristische Personen (vgl. Art. 2 Abs. 1 i.V.m. Art. 3 lit. b DSG ), worunter die überwiegende Lehrmeinung in Übereinstimmung mit der Botschaft zum DSG nicht nur diejenigen des privaten, sondern auch solche des öffentlichen Rechts zählt, sofern ihnen BGE 144 II 77 S. 85 Zivilrechtsfähigkeit zukommt (vgl. Botschaft vom 23. März 1988 zum Bundesgesetz über den Datenschutz [DSG], BBl 1988 II 413, 438 ff. und 445 Ziff. 221.1; MAURER-LAMBROU/KUNZ, in: Basler Kommentar, Datenschutzgesetz, Öffentlichkeitsgesetz, 3. Aufl. 2014, N. 7 zu Art. 2 DSG ; ROSENTHAL/JÖHRI, in: Handkommentar zum Datenschutzgesetz, 2008, N. 6 zu Art. 2 Abs. 1 DSG ; BELSER/EPINEY/WALDMANN, Datenschutzrecht, 2011, S. 425; PHILIPPE MEIER, Protection des données, 2011, S. 212). Im hier zu beurteilenden Fall befinden sich unter den Transportunternehmen, deren Daten über Gefährdungen und Störungen in der NEDB enthalten sind und zugänglich gemacht werden sollen, namentlich öffentlich-rechtliche Anstalten, spezialgesetzliche Aktiengesellschaften und gemischtwirtschaftliche Unternehmen (vgl. TSCHANNEN/ZIMMERLI/MÜLLER, Allgemeines Verwaltungsrecht, 4. Aufl. 2014, S. 74 ff.; PHILIPP HÄSLER, Geltung der Grundrechte für öffentliche Unternehmen, 2005, S. 35 f.). Diese bedürfen zudem sowohl für den Bau und den Betrieb einer Eisenbahninfrastruktur als auch für die regelmässige und gewerbsmässige Personenbeförderung grundsätzlich einer entsprechenden Infrastruktur- bzw. Personenbeförderungskonzession (Art. 5 f. EBG i.V.m. Art. 8 ff. der Verordnung vom 14. Oktober 2015 über die Konzessionierung, Planung und Finanzierung der Bahninfrastruktur [KPFV; SR 742.120] und Art. 6 PBG i.V.m. Art. 6 der Verordnung vom 4. November 2009 über die Personenbeförderung [VPB; SR 745.11]). Dabei handelt es sich um Monopolkonzessionen, welche die Inhaber zur Ausübung einer grundsätzlich dem Staat vorbehaltenen Tätigkeit berechtigen und verpflichten (vgl. Art. 5 Abs. 2 EBG und Art. 4 i.V.m. Art. 6 Abs. 2 PBG ).</w:t>
      </w:r>
    </w:p>
    <w:p>
      <w:r>
        <w:rPr>
          <w:b/>
        </w:rPr>
        <w:t>E. 5.4</w:t>
      </w:r>
    </w:p>
    <w:p>
      <w:r>
        <w:t>Der Botschaft zum DSG ist zu entnehmen, dass insbesondere Überlegungen der Gleichbehandlung dafür sprechen sollen, juristischen Personen, einschliesslich solchen des öffentlichen Rechts, den Anspruch auf Datenschutz gegenüber behördlicher Datenbearbeitung zuzugestehen und sie insofern mit Privaten gleichzustellen, als sie in diesem Bereich ähnliche Schutzbedürfnisse aufweisen (vgl. Botschaft zum DSG, BBl 1988 II 413, 439 f. Ziff. 221.1). Die Literatur zum Datenschutzrecht folgt dieser Auffassung grossmehrheitlich, ohne sich aber mit der Ausweitung des Schutzbereichs kritisch auseinanderzusetzen und auf die Besonderheiten, die sich aus der speziellen Nähe juristischer Personen des öffentlichen Rechts und öffentlicher Unternehmen zum Staat ergeben, einzugehen (vgl. die Literaturhinweise in E. 5.3 hiervor). Mit Blick auf die nach BGE 144 II 77 S. 86 Art. 19 Abs. 1 bis DSG (bzw. Art. 7 Abs. 2 BGÖ ) vorzunehmende Güterabwägung bedeutet dies, dass der Zugang zu Informationen in einem amtlichen Dokument, die sich solchen Personen zuordnen lassen, aus Datenschutzgründen eingeschränkt oder verweigert werden kann, sofern die Interessen dieser Personen überwiegen.</w:t>
      </w:r>
    </w:p>
    <w:p>
      <w:r>
        <w:rPr>
          <w:b/>
        </w:rPr>
        <w:t>E. 5.5</w:t>
      </w:r>
    </w:p>
    <w:p>
      <w:r>
        <w:t>Dies steht in einem gewissen Spannungsverhältnis zu der vom Bundesgericht entwickelten Praxis zur Grundrechtsberechtigung juristischer Personen des öffentlichen Rechts. In der Rechtsprechung und der Lehre ist unbestritten, dass juristische Personen des Privatrechts Träger von Grundrechten sein können, soweit deren Schutzziele nicht auf natürliche Personen zugeschnitten sind, sondern sich ihrer Natur nach auch für juristische Personen eignen (so schon BGE 4 S. 533 E. 4 S. 537; vgl. mit Blick auf die Religionsfreiheit: BGE 142 I 195 E. 5.2 S. 207 f.; THOMAS GÄCHTER, Allgemeine Grundrechtslehren, in: Staatsrecht, 2. Aufl. 2015, S. 453; KIENER/KÄLIN, Grundrechte, 2. Aufl. 2013, S. 63; HÄFELIN/HALLER/KELLER/THURNHERR, Schweizerisches Bundesstaatsrecht, 9. Aufl. 2016, S. 86; PIERRE TSCHANNEN, Staatsrecht der Schweizerischen Eidgenossenschaft, 4. Aufl. 2016, S. 109). Anders verhält es sich bei juristischen Personen des öffentlichen Rechts. Sie können sich als Inhaber hoheitlicher Gewalt grundsätzlich nicht auf verfassungsmässige Rechte berufen; diese stehen im Prinzip nur Privaten zu ( BGE 142 II 259 E. 4.2 S. 262; BGE 140 I 285 E. 1.2 S. 290; BGE 132 I 140 E. 1.3.1 S. 143; BGE 129 I 313 E. 4.1 S. 318; BGE 125 I 173 E. 1b S. 175). Dieser Grundsatz erfährt indes eine gewisse Relativierung. So können öffentlich-rechtliche Korporationen namentlich dann den Schutz der Grundrechte in Anspruch nehmen, wenn sie nicht hoheitlich handeln, sondern sich auf dem Boden des Privatrechts bewegen oder sonst wie als dem Bürger gleichgeordnete Rechtssubjekte auftreten und durch den angefochtenen staatlichen Akt wie eine Privatperson betroffen werden ( BGE 142 II 259 E. 4.2 S. 262; BGE 140 I 285 E. 1.2 S. 290; BGE 132 I 140 E. 1.3.1 S. 143; BGE 129 I 313 E. 4.1 S. 318 f.; BGE 125 I 173 E. 1b S. 175; BGE 120 Ia 95 E. 1a S. 96 f.; BGE 119 Ia 214 E. 1a S. 216; BGE 112 Ia 356 E. 5a S. 363 f.). Ebenso sind juristische Personen des öffentlichen Rechts nach der EMRK grundrechtsberechtigt, soweit sie ein bestimmtes Mass an Staatsnähe nicht überschreiten (vgl. GRABENWARTER/PABEL, Europäische Menschenrechtskonvention, 6. Aufl. 2016, S. 62 und 129; MÜLLER/BALDEGGER, Grundrechte juristischer Personen, in: Norm und Wirkung, Festschrift für Wolfgang Wiegand zum 65. Geburtstag, 2005, S. 560 f.). BGE 144 II 77 S. 87</w:t>
      </w:r>
    </w:p>
    <w:p>
      <w:r>
        <w:rPr>
          <w:b/>
        </w:rPr>
        <w:t>E. 5.6</w:t>
      </w:r>
    </w:p>
    <w:p>
      <w:r>
        <w:t>Die Frage, ob sich öffentliche Unternehmen auf das Recht auf informationelle Selbstbestimmung berufen können und der Schutzbereich des DSG somit zu Recht auf solche juristische Personen erstreckt wird, braucht hier jedoch nicht näher erörtert zu werden. Immerhin ist anzumerken, dass die in der NEDB enthaltenen Gefährdungen und Störungen grösstenteils in Zusammenhang mit der Wahrnehmung konzessionierter öffentlicher Aufgaben stehen, weshalb den betroffenen Transportunternehmen als juristische Personen des öffentlichen Rechts bzw. als öffentliche Unternehmen nach der vorerwähnten Rechtsprechung eine Grundrechtsberechtigung in diesem Bereich eher abzusprechen wäre. Denn ihren Interessen am Schutz personenbezogener Daten kommt umso weniger Gewicht zu, je staatsnaher ihre Tätigkeit ist. Hinsichtlich Art. 19 Abs. 1 bis DSG bedeutete dies, dass dem Interesse am Zugang zu Informationen, die sich auf öffentliche Aufgaben dieser Personen beziehen, deren eigenes Interesse am Schutz ihrer Daten nicht entgegengehalten werden könnte. Demnach entfiele die Vornahme einer Güterabwägung. Wie es sich damit im Einzelnen verhält, kann hier letztlich jedoch dahingestellt bleiben, da selbst bei der Vornahme einer Interessenabwägung im Sinne dieser Bestimmungen - wie aus nachfolgenden Erwägungen erhellt - im Ergebnis das Zugangsinteresse überwiegt.</w:t>
      </w:r>
    </w:p>
    <w:p>
      <w:r>
        <w:rPr>
          <w:b/>
        </w:rPr>
        <w:t>E. 5.7</w:t>
      </w:r>
    </w:p>
    <w:p>
      <w:r>
        <w:t>Im Rahmen von Art. 19 Abs. 1 bis DSG (oder Art. 7 Abs. 2 BGÖ ) ist dem Interesse am Schutz der Privatsphäre resp. dem Recht auf informationelle Selbstbestimmung jener Personen, deren Daten zugänglich gemacht werden sollen, Rechnung zu tragen (vgl. BGE 142 II 340 E. 4.4 S. 347). Der Beschwerdeführer stellt sich dabei auf den Standpunkt, daneben seien auch öffentliche Interessen, die der Zugangsgewährung entgegenstehen können, zu berücksichtigen, andernfalls der Entscheid über die Bekanntgabe der umstrittenen Daten auf einer unvollständigen Interessenabwägung beruhe. Demgegenüber erwog der EDÖB in seiner Empfehlung vom 18. Juni 2015 (vgl. E. 29), der Gesetzgeber habe die Fälle, in denen ein öffentliches Interesse eine Zugangsbeschränkung zu rechtfertigen vermöge, abschliessend in Art. 7 Abs. 1 lit. a-f BGÖ normiert. Diese Ansicht wird von der Lehre geteilt (vgl. COTTIER, a.a.O., N. 3 zu Art. 7 BGÖ ; STEIMEN, a.a.O., N. 1 zu Art. 7 BGÖ ) und auch in den Materialien vertreten (vgl. Botschaft zum BGÖ, BBl 2003 1963, 2006 Ziff. 2.2.2.1). Gleichermassen hielt das Bundesverwaltungsgericht dafür, dass dem öffentlichen Interesse am Zugang einzig private Interessen gegenübergestellt werden könnten. Dies ergebe sich ohne Weiteres aus dem BGE 144 II 77 S. 88 Wortlaut und dem Zweck der einschlägigen Bestimmungen. Insofern seien dem Zugang widersprechende öffentliche Interessen bei der Beurteilung des Zugangsgesuchs einzig bei der Prüfung der Tatbestände von Art. 7 Abs. 1 lit. a-f und Art. 8 BGÖ zu berücksichtigen (vgl. E. 7.2.2.4 f. des angefochtenen Entscheids). Für den Ansatz der Vorinstanz spricht, dass bei der im Rahmen von Art. 19 Abs. 1 bis DSG (bzw. Art. 7 Abs. 2 BGÖ ) vorzunehmenden Güterabwägung praktische Konkordanz zwischen der Informations- und Medienfreiheit ( Art. 16 und Art. 17 BV ), auf die sich der Beschwerdegegner für die Zugangsgewährung berufen kann und zu deren Verwirklichung das Transparenzgebot beiträgt (Urteil 1C_50/2015 vom 2. Dezember 2015 E. 2.2), und dem verfassungsrechtlichen Anspruch auf Achtung der Privatsphäre resp. dem Recht auf informationelle Selbstbestimmung herzustellen ist (Urteil 1C_74/2015 vom 2. Dezember 2015 E. 4.1.2). Letztere gewährleisten im Allgemeinen, dass die Privatsphäre jener Personen geachtet wird, über die Daten bearbeitet werden, und diese selbst darüber bestimmen können, wer welche Informationen über sie erhebt, verwendet oder bekannt gibt (vgl. E. 5.2 hiervor). Insoweit können in erster Linie Interessen privater Natur dem Interesse an der Zugangsgewährung gegenübergestellt werden; öffentliche Interessen, die eine Geheimhaltung zu rechtfertigen vermöchten, sind demnach grundsätzlich im Rahmen der einschlägigen Ausnahmebestimmungen von Art. 7 f. BGÖ zu berücksichtigen. Werden sie aber von keiner dieser Kategorien erfasst, obschon sie einen vergleichbaren Schutzgehalt aufweisen und bei einer Offenlegung der Eintritt eines gewichtigen Schadens droht, ist nicht nachvollziehbar, weshalb sie beim Entscheid über die Zugangsgewährung gänzlich ausser Acht gelassen werden sollten. Insofern befand das Bundesgericht denn auch im zit. Urteil 1C_74/2015, dass es sich bei solchen Anliegen durchaus um bedeutende, den privaten Schutzbedürfnissen gleichzustellende Interessen handeln kann und diese deshalb beachtet werden müssen (E. 4.2.2). Demnach treten solche, der Bekanntgabe zuwiderlaufende öffentliche Interessen zwar nicht zu den Ausnahmebestimmungen in Art. 7 f. BGÖ hinzu, dessen Art. 7 Abs. 1 BGÖ in lit. a-f eine abschliessende Aufzählung der Gründe enthält, die eine Geheimhaltung aus überwiegenden öffentlichen Interessen bereits dann zu rechtfertigen vermögen, wenn die aufgrund der Zugangsgewährung drohende Verletzung gewichtig ist und mit einer gewissen Wahrscheinlichkeit eintritt (vgl. E. 3 hiervor). Vielmehr sind die einer Offenlegung BGE 144 II 77 S. 89 entgegenstehenden öffentlichen Interessen in die Güterabwägung nach Art. 19 Abs. 1 bis DSG (bzw. Art. 7 Abs. 2 BGÖ ) miteinzubeziehen, soweit ihnen eine gewisse Erheblichkeit zukommt.</w:t>
      </w:r>
    </w:p>
    <w:p>
      <w:r>
        <w:rPr>
          <w:b/>
        </w:rPr>
        <w:t>E. 5.8</w:t>
      </w:r>
    </w:p>
    <w:p>
      <w:r>
        <w:t>Dem Beschwerdeführer ist zwar darin beizupflichten, dass an einem sicheren öffentlichen Verkehr ein allgemeines und gewichtiges Interesse besteht. Ihm kann jedoch nicht gefolgt werden, soweit er vorbringt, die Namen der in der NEDB erfassten Transportunternehmen müssten geheim gehalten werden, ansonsten mit einem Rückgang bei den künftig zu meldenden Gefährdungs- und Störungsfällen zu rechnen sei, zumal sich die Meldepflichtigen nicht unnötig in ein schlechtes Licht rücken wollten. Angesichts der bereits erwähnten gesetzlichen Pflicht zur Meldung schwerer Vorfälle und wesentlicher Störungen (vgl. E. 4.3 hiervor) liefe diese Argumentation im Ergebnis darauf hinaus, die Zugangsbeschränkung damit zu rechtfertigen, dass ein potenzielles, rechtswidriges Verhalten der meldepflichtigen Unternehmen, das der Sicherheit im öffentlichen Verkehr abträglich sein könnte, verhindert werden muss. Abgesehen davon, dass ein solches Gebaren der betroffenen Transportunternehmen nicht zu erwarten ist, würde es keinen Schutz verdienen und kann daher auch nicht in die Güterabwägung miteinfliessen. Vielmehr ist davon auszugehen, dass die gesetzliche Meldepflicht befolgt wird und die Vorfälle, welche den entsprechenden Schwellenwert erreichen, auch tatsächlich dem BAV zur Kenntnis gebracht werden. Bei einer Offenlegung von Zwischenfällen, die dem BAV von den Transportunternehmen freiwillig mitgeteilt werden, ist zwar ein Melderückgang nicht gänzlich auszuschliessen. Da aber anzunehmen ist, dass es sich dabei um Vorfälle handelt, welche die für die Meldepflicht erforderliche Schwere nicht erreichen, sind sie im Hinblick auf die Anordnung von aufsichtsrechtlichen Sicherheitsmassnahmen ohnehin von geringerer Bedeutung. Für Ereignisse, die sich in einem - aufgrund der relativ präzisen Begriffsumschreibung der zu meldenden Ereignisse (vgl. Bundesamt für Justiz, Schnellübersicht über die dem BAV zu meldenden Ereignisse vom 1. Februar 2015) wohl ohnehin eher engen - Graubereich bewegen, obliegt es dem BAV, im Rahmen seiner Aufsichtstätigkeit durch Kontrollen oder andere geeignete Massnahmen zu überprüfen, ob die gesetzliche Meldepflicht eingehalten wird. Die Transportunternehmen müssen ihm denn auch jederzeit Auskunft erteilen und sämtliche Dokumente herausgeben (vgl. Art. 14a Abs. 2 EBG ). Würden wider Erwarten Verstösse gegen die Meldepflicht festgestellt, könnten BGE 144 II 77 S. 90 diese entsprechend sanktioniert werden (vgl. E. 7.3.2 des angefochtenen Entscheids). Insofern stehen dem BAV entgegen seiner Ansicht alternative Informationsquellen zur Verfügung, weshalb es sich nicht auf ein überwiegendes Interesse an der Geheimhaltung sicherheitsrelevanter Zwischenfälle berufen kann.</w:t>
      </w:r>
    </w:p>
    <w:p>
      <w:r>
        <w:rPr>
          <w:b/>
        </w:rPr>
        <w:t>E. 5.9</w:t>
      </w:r>
    </w:p>
    <w:p>
      <w:r>
        <w:t>Im Weiteren befürchten die Verfahrensbeteiligten, eine Offenlegung der in der NEDB enthaltenen Gefährdungen und Störungen könnte sich negativ auf ihren Geschäftserfolg auswirken. Dies vermag nicht zu überzeugen. Abgesehen davon, dass Bahnpassagiere einen Anbieter wohl überhaupt erst bei einer aussergewöhnlichen und damit unwahrscheinlichen Häufung von mehreren schwerwiegenden Vorfällen zu meiden begännen, besteht auf den meisten Strecken im öffentlichen Verkehr ohnehin kein wirkliches Alternativangebot. Auch ist entgegen der Auffassung der Verfahrensbeteiligten nicht ersichtlich, inwiefern dem Informationsbedürfnis des Beschwerdegegners durch die Veröffentlichungen der Schweizerischen Sicherheitsuntersuchungsstelle (SUST) bereits entsprochen sein soll. Da die SUST ihrem Auftrag zufolge lediglich Unfälle und gefährliche Ereignisse untersucht (vgl. Art. 20 Abs. 1 i.V.m. Art. 15 VSZV ; zur genaueren Umschreibung der meldepflichtigen Vorfälle siehe www. sust.admin.ch/de/themen/meldung-eines-ereignisses, besucht am 27. September 2017) und darüber Bericht erstattet (vgl. Art. 53 Abs. 1 VSZV ), weitere in der NEDB vermerkte Zwischenfälle aber ausklammert, bleibt der Informationsgehalt ihrer Tätigkeit hinter dem zurück, mit dem bei einer Zugangsgewährung gerechnet werden kann.</w:t>
      </w:r>
    </w:p>
    <w:p>
      <w:r>
        <w:rPr>
          <w:b/>
        </w:rPr>
        <w:t>E. 5.10</w:t>
      </w:r>
    </w:p>
    <w:p>
      <w:r>
        <w:t>Zusammenfassend ergibt sich, dass die geltend gemachten Interessen an einer Zugangsverweigerung zu den in der NEDB enthaltenen Gefährdungen und Störungen der 26 wichtigsten Schweizer Transportunternehmen das durch das Öffentlichkeitsprinzip statuierte Transparenzinteresse nicht zu überwiegen vermögen. Dieses erweist sich denn auch als besonders gewichtig, zumal an der Offenlegung von Zwischenfällen im öffentlichen Verkehr ein erhebliches öffentliches Interesse besteht. Dabei ist nicht auszuschliessen, dass die durch die Bekanntgabe gewährleistete Kontrolle durch die Öffentlichkeit die betroffenen Transportunternehmen inskünftig dazu veranlassen könnte, meldepflichtige Ereignisse durch verstärkte Schutzvorkehrungen zu verringern, was der Sicherheit im öffentlichen Verkehr wiederum zuträglich wäre. Ausserdem ist auch insoweit von einem gesteigerten öffentlichen Informationsinteresse auszugehen, als die Transportunternehmen grundsätzlich in einem Konzessionsverhältnis zum Gemeinwesen stehen, aus dem ihnen erhebliche Vorteile BGE 144 II 77 S. 91 erwachsen (vgl. Art. 6 Abs. 2 lit. c der Verordnung vom 24. Mai 2006 über das Öffentlichkeitsprinzip der Verwaltung [VBGÖ; SR 152.31] ). Hinzu kommt, dass diese Betriebe staatlich beherrscht sind oder die öffentliche Hand zumindest anteilsmässig an ihnen beteiligt ist, sie mithin eine gewisse Staatsnähe aufweisen und durch Steuergelder (mit-)finanziert werden, was ebenfalls ein erhöhtes Interesse der Öffentlichkeit an der Offenlegung der umstrittenen Informationen zu begründen vermag. Da die betroffenen Transportunternehmen unbestrittenermassen vom BAV bereits im Sinne von Art. 11 Abs. 1 BGÖ angehört worden sind, lässt die Zugangsgewährung zu den nachgesuchten Personendaten keine Bundesrechtswidrigkeit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